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994" w:rsidRDefault="004B2994" w:rsidP="00B83FC3">
      <w:pPr>
        <w:textAlignment w:val="baseline"/>
        <w:outlineLvl w:val="1"/>
        <w:rPr>
          <w:rFonts w:ascii="Helvetica" w:eastAsia="Times New Roman" w:hAnsi="Helvetica" w:cs="Times New Roman"/>
          <w:b/>
          <w:bCs/>
          <w:caps/>
          <w:color w:val="C33A1A"/>
          <w:sz w:val="27"/>
          <w:szCs w:val="27"/>
        </w:rPr>
      </w:pPr>
      <w:r w:rsidRPr="004B2994">
        <w:rPr>
          <w:rFonts w:ascii="Helvetica" w:eastAsia="Times New Roman" w:hAnsi="Helvetica" w:cs="Times New Roman"/>
          <w:b/>
          <w:bCs/>
          <w:caps/>
          <w:color w:val="C33A1A"/>
          <w:sz w:val="27"/>
          <w:szCs w:val="27"/>
        </w:rPr>
        <w:t xml:space="preserve">COMMON LEGAL ISSUES FACING </w:t>
      </w:r>
      <w:r w:rsidR="00B83FC3">
        <w:rPr>
          <w:rFonts w:ascii="Helvetica" w:eastAsia="Times New Roman" w:hAnsi="Helvetica" w:cs="Times New Roman"/>
          <w:b/>
          <w:bCs/>
          <w:caps/>
          <w:color w:val="C33A1A"/>
          <w:sz w:val="27"/>
          <w:szCs w:val="27"/>
        </w:rPr>
        <w:t>MAGAZINES AND PUBLISHING</w:t>
      </w:r>
    </w:p>
    <w:p w:rsidR="00B83FC3" w:rsidRPr="004B2994" w:rsidRDefault="00B83FC3" w:rsidP="00B83FC3">
      <w:pPr>
        <w:textAlignment w:val="baseline"/>
        <w:outlineLvl w:val="1"/>
        <w:rPr>
          <w:rFonts w:ascii="Helvetica" w:eastAsia="Times New Roman" w:hAnsi="Helvetica" w:cs="Times New Roman"/>
          <w:b/>
          <w:bCs/>
          <w:caps/>
          <w:color w:val="C33A1A"/>
          <w:sz w:val="27"/>
          <w:szCs w:val="27"/>
        </w:rPr>
      </w:pPr>
    </w:p>
    <w:p w:rsidR="004B2994" w:rsidRDefault="004B2994" w:rsidP="00B83FC3">
      <w:pPr>
        <w:textAlignment w:val="baseline"/>
        <w:rPr>
          <w:rFonts w:ascii="Helvetica" w:eastAsia="Times New Roman" w:hAnsi="Helvetica" w:cs="Times New Roman"/>
          <w:color w:val="666B6B"/>
          <w:sz w:val="21"/>
          <w:szCs w:val="21"/>
        </w:rPr>
      </w:pPr>
      <w:r w:rsidRPr="004B2994">
        <w:rPr>
          <w:rFonts w:ascii="Helvetica" w:eastAsia="Times New Roman" w:hAnsi="Helvetica" w:cs="Times New Roman"/>
          <w:color w:val="666B6B"/>
          <w:sz w:val="21"/>
          <w:szCs w:val="21"/>
        </w:rPr>
        <w:t>Although publishing ventures rely especially on copyright and defamation law, many other bodies of law apply, often with their own unique publishing spin. What follows is a list of the legal subjects and challenges regularly confronting publishers.</w:t>
      </w:r>
    </w:p>
    <w:p w:rsidR="00B83FC3" w:rsidRPr="004B2994" w:rsidRDefault="00B83FC3" w:rsidP="00B83FC3">
      <w:pPr>
        <w:textAlignment w:val="baseline"/>
        <w:rPr>
          <w:rFonts w:ascii="Helvetica" w:eastAsia="Times New Roman" w:hAnsi="Helvetica" w:cs="Times New Roman"/>
          <w:color w:val="666B6B"/>
          <w:sz w:val="21"/>
          <w:szCs w:val="21"/>
        </w:rPr>
      </w:pPr>
    </w:p>
    <w:p w:rsidR="004B2994" w:rsidRPr="004B2994" w:rsidRDefault="004B2994" w:rsidP="00B83FC3">
      <w:pPr>
        <w:textAlignment w:val="baseline"/>
        <w:outlineLvl w:val="3"/>
        <w:rPr>
          <w:rFonts w:ascii="Helvetica" w:eastAsia="Times New Roman" w:hAnsi="Helvetica" w:cs="Times New Roman"/>
          <w:b/>
          <w:bCs/>
          <w:color w:val="C33A1A"/>
        </w:rPr>
      </w:pPr>
      <w:r w:rsidRPr="004B2994">
        <w:rPr>
          <w:rFonts w:ascii="Helvetica" w:eastAsia="Times New Roman" w:hAnsi="Helvetica" w:cs="Times New Roman"/>
          <w:b/>
          <w:bCs/>
          <w:color w:val="C33A1A"/>
        </w:rPr>
        <w:t>Copyright Challenges</w:t>
      </w:r>
    </w:p>
    <w:p w:rsidR="004B2994" w:rsidRPr="00B83FC3" w:rsidRDefault="004B2994" w:rsidP="00B83FC3">
      <w:pPr>
        <w:textAlignment w:val="baseline"/>
        <w:rPr>
          <w:rFonts w:ascii="Helvetica" w:eastAsia="Times New Roman" w:hAnsi="Helvetica" w:cs="Times New Roman"/>
          <w:color w:val="666B6B"/>
          <w:sz w:val="21"/>
          <w:szCs w:val="21"/>
        </w:rPr>
      </w:pPr>
      <w:r w:rsidRPr="00B83FC3">
        <w:rPr>
          <w:rFonts w:ascii="inherit" w:eastAsia="Times New Roman" w:hAnsi="inherit" w:cs="Times New Roman"/>
          <w:i/>
          <w:iCs/>
          <w:color w:val="666B6B"/>
          <w:sz w:val="21"/>
          <w:szCs w:val="21"/>
          <w:bdr w:val="none" w:sz="0" w:space="0" w:color="auto" w:frame="1"/>
        </w:rPr>
        <w:t>Author Grants.</w:t>
      </w:r>
      <w:r w:rsidRPr="00B83FC3">
        <w:rPr>
          <w:rFonts w:ascii="Helvetica" w:eastAsia="Times New Roman" w:hAnsi="Helvetica" w:cs="Times New Roman"/>
          <w:color w:val="666B6B"/>
          <w:sz w:val="21"/>
          <w:szCs w:val="21"/>
        </w:rPr>
        <w:t xml:space="preserve"> The first step in the publishing process is to properly obtain rights from authors. </w:t>
      </w:r>
    </w:p>
    <w:p w:rsidR="00DF0D2D" w:rsidRPr="00DF0D2D" w:rsidRDefault="00DF0D2D" w:rsidP="00B83FC3">
      <w:pPr>
        <w:pStyle w:val="ListParagraph"/>
        <w:ind w:left="0"/>
        <w:textAlignment w:val="baseline"/>
        <w:rPr>
          <w:rFonts w:ascii="Helvetica" w:eastAsia="Times New Roman" w:hAnsi="Helvetica" w:cs="Times New Roman"/>
          <w:b/>
          <w:bCs/>
          <w:color w:val="666B6B"/>
          <w:sz w:val="21"/>
          <w:szCs w:val="21"/>
        </w:rPr>
      </w:pPr>
    </w:p>
    <w:p w:rsidR="004B2994" w:rsidRPr="00B83FC3" w:rsidRDefault="004B2994" w:rsidP="00B83FC3">
      <w:pPr>
        <w:textAlignment w:val="baseline"/>
        <w:rPr>
          <w:rFonts w:ascii="Helvetica" w:eastAsia="Times New Roman" w:hAnsi="Helvetica" w:cs="Times New Roman"/>
          <w:color w:val="666B6B"/>
          <w:sz w:val="21"/>
          <w:szCs w:val="21"/>
        </w:rPr>
      </w:pPr>
      <w:r w:rsidRPr="00B83FC3">
        <w:rPr>
          <w:rFonts w:ascii="inherit" w:eastAsia="Times New Roman" w:hAnsi="inherit" w:cs="Times New Roman"/>
          <w:i/>
          <w:iCs/>
          <w:color w:val="666B6B"/>
          <w:sz w:val="21"/>
          <w:szCs w:val="21"/>
          <w:bdr w:val="none" w:sz="0" w:space="0" w:color="auto" w:frame="1"/>
        </w:rPr>
        <w:t>Copyright Procedures.</w:t>
      </w:r>
      <w:r w:rsidRPr="00B83FC3">
        <w:rPr>
          <w:rFonts w:ascii="Helvetica" w:eastAsia="Times New Roman" w:hAnsi="Helvetica" w:cs="Times New Roman"/>
          <w:color w:val="666B6B"/>
          <w:sz w:val="21"/>
          <w:szCs w:val="21"/>
        </w:rPr>
        <w:t> The second step for publishers is to protect the copyrights they control. This means using proper </w:t>
      </w:r>
      <w:r w:rsidRPr="00B83FC3">
        <w:rPr>
          <w:rFonts w:ascii="inherit" w:eastAsia="Times New Roman" w:hAnsi="inherit" w:cs="Times New Roman"/>
          <w:i/>
          <w:iCs/>
          <w:color w:val="666B6B"/>
          <w:sz w:val="21"/>
          <w:szCs w:val="21"/>
          <w:bdr w:val="none" w:sz="0" w:space="0" w:color="auto" w:frame="1"/>
        </w:rPr>
        <w:t>copyright notices</w:t>
      </w:r>
      <w:r w:rsidRPr="00B83FC3">
        <w:rPr>
          <w:rFonts w:ascii="Helvetica" w:eastAsia="Times New Roman" w:hAnsi="Helvetica" w:cs="Times New Roman"/>
          <w:color w:val="666B6B"/>
          <w:sz w:val="21"/>
          <w:szCs w:val="21"/>
        </w:rPr>
        <w:t> on published works (including the international copyright symbol ©, date of publication, and name of copyright owner) and, at least for significant works, copyright </w:t>
      </w:r>
      <w:r w:rsidRPr="00B83FC3">
        <w:rPr>
          <w:rFonts w:ascii="inherit" w:eastAsia="Times New Roman" w:hAnsi="inherit" w:cs="Times New Roman"/>
          <w:i/>
          <w:iCs/>
          <w:color w:val="666B6B"/>
          <w:sz w:val="21"/>
          <w:szCs w:val="21"/>
          <w:bdr w:val="none" w:sz="0" w:space="0" w:color="auto" w:frame="1"/>
        </w:rPr>
        <w:t>registration</w:t>
      </w:r>
      <w:r w:rsidRPr="00B83FC3">
        <w:rPr>
          <w:rFonts w:ascii="Helvetica" w:eastAsia="Times New Roman" w:hAnsi="Helvetica" w:cs="Times New Roman"/>
          <w:color w:val="666B6B"/>
          <w:sz w:val="21"/>
          <w:szCs w:val="21"/>
        </w:rPr>
        <w:t xml:space="preserve"> in the name of the owner. </w:t>
      </w:r>
    </w:p>
    <w:p w:rsidR="00DF0D2D" w:rsidRPr="00DF0D2D" w:rsidRDefault="00DF0D2D" w:rsidP="00B83FC3">
      <w:pPr>
        <w:pStyle w:val="ListParagraph"/>
        <w:ind w:left="0"/>
        <w:textAlignment w:val="baseline"/>
        <w:rPr>
          <w:rFonts w:ascii="Helvetica" w:eastAsia="Times New Roman" w:hAnsi="Helvetica" w:cs="Times New Roman"/>
          <w:b/>
          <w:bCs/>
          <w:color w:val="666B6B"/>
          <w:sz w:val="21"/>
          <w:szCs w:val="21"/>
        </w:rPr>
      </w:pPr>
    </w:p>
    <w:p w:rsidR="004B2994" w:rsidRPr="00B83FC3" w:rsidRDefault="004B2994" w:rsidP="00B83FC3">
      <w:pPr>
        <w:textAlignment w:val="baseline"/>
        <w:rPr>
          <w:rFonts w:ascii="Helvetica" w:eastAsia="Times New Roman" w:hAnsi="Helvetica" w:cs="Times New Roman"/>
          <w:color w:val="666B6B"/>
          <w:sz w:val="21"/>
          <w:szCs w:val="21"/>
        </w:rPr>
      </w:pPr>
      <w:r w:rsidRPr="00B83FC3">
        <w:rPr>
          <w:rFonts w:ascii="inherit" w:eastAsia="Times New Roman" w:hAnsi="inherit" w:cs="Times New Roman"/>
          <w:i/>
          <w:iCs/>
          <w:color w:val="666B6B"/>
          <w:sz w:val="21"/>
          <w:szCs w:val="21"/>
          <w:bdr w:val="none" w:sz="0" w:space="0" w:color="auto" w:frame="1"/>
        </w:rPr>
        <w:t>Protecting Against Infringement.</w:t>
      </w:r>
      <w:r w:rsidRPr="00B83FC3">
        <w:rPr>
          <w:rFonts w:ascii="Helvetica" w:eastAsia="Times New Roman" w:hAnsi="Helvetica" w:cs="Times New Roman"/>
          <w:color w:val="666B6B"/>
          <w:sz w:val="21"/>
          <w:szCs w:val="21"/>
        </w:rPr>
        <w:t xml:space="preserve"> A fourth copyright measure is to implement procedures and train personnel so as to promote proper use and non-infringement of the rights of others. </w:t>
      </w:r>
    </w:p>
    <w:p w:rsidR="00DF0D2D" w:rsidRPr="00DF0D2D" w:rsidRDefault="00DF0D2D" w:rsidP="00B83FC3">
      <w:pPr>
        <w:pStyle w:val="ListParagraph"/>
        <w:ind w:left="0"/>
        <w:textAlignment w:val="baseline"/>
        <w:rPr>
          <w:rFonts w:ascii="Helvetica" w:eastAsia="Times New Roman" w:hAnsi="Helvetica" w:cs="Times New Roman"/>
          <w:color w:val="666B6B"/>
          <w:sz w:val="21"/>
          <w:szCs w:val="21"/>
        </w:rPr>
      </w:pPr>
      <w:bookmarkStart w:id="0" w:name="_GoBack"/>
      <w:bookmarkEnd w:id="0"/>
    </w:p>
    <w:p w:rsidR="004B2994" w:rsidRPr="00B83FC3" w:rsidRDefault="004B2994" w:rsidP="00B83FC3">
      <w:pPr>
        <w:textAlignment w:val="baseline"/>
        <w:rPr>
          <w:rFonts w:ascii="Helvetica" w:eastAsia="Times New Roman" w:hAnsi="Helvetica" w:cs="Times New Roman"/>
          <w:color w:val="666B6B"/>
          <w:sz w:val="21"/>
          <w:szCs w:val="21"/>
        </w:rPr>
      </w:pPr>
      <w:r w:rsidRPr="00B83FC3">
        <w:rPr>
          <w:rFonts w:ascii="inherit" w:eastAsia="Times New Roman" w:hAnsi="inherit" w:cs="Times New Roman"/>
          <w:i/>
          <w:iCs/>
          <w:color w:val="666B6B"/>
          <w:sz w:val="21"/>
          <w:szCs w:val="21"/>
          <w:bdr w:val="none" w:sz="0" w:space="0" w:color="auto" w:frame="1"/>
        </w:rPr>
        <w:t>Internet and Electronic Uses.</w:t>
      </w:r>
      <w:r w:rsidRPr="00B83FC3">
        <w:rPr>
          <w:rFonts w:ascii="Helvetica" w:eastAsia="Times New Roman" w:hAnsi="Helvetica" w:cs="Times New Roman"/>
          <w:color w:val="666B6B"/>
          <w:sz w:val="21"/>
          <w:szCs w:val="21"/>
        </w:rPr>
        <w:t xml:space="preserve"> One can’t leave the topic of copyrights in publishing without noting the issues created by new electronic means of reproduction and distribution. </w:t>
      </w:r>
    </w:p>
    <w:p w:rsidR="00DF0D2D" w:rsidRDefault="00DF0D2D" w:rsidP="00B83FC3">
      <w:pPr>
        <w:textAlignment w:val="baseline"/>
        <w:rPr>
          <w:rFonts w:ascii="Helvetica" w:eastAsia="Times New Roman" w:hAnsi="Helvetica" w:cs="Times New Roman"/>
          <w:b/>
          <w:bCs/>
          <w:color w:val="666B6B"/>
          <w:sz w:val="21"/>
          <w:szCs w:val="21"/>
        </w:rPr>
      </w:pPr>
    </w:p>
    <w:p w:rsidR="00DF0D2D" w:rsidRPr="00DF0D2D" w:rsidRDefault="00DF0D2D" w:rsidP="00B83FC3">
      <w:pPr>
        <w:textAlignment w:val="baseline"/>
        <w:rPr>
          <w:rFonts w:ascii="Helvetica" w:eastAsia="Times New Roman" w:hAnsi="Helvetica" w:cs="Times New Roman"/>
          <w:b/>
          <w:bCs/>
          <w:color w:val="666B6B"/>
          <w:sz w:val="21"/>
          <w:szCs w:val="21"/>
        </w:rPr>
      </w:pPr>
    </w:p>
    <w:p w:rsidR="004B2994" w:rsidRPr="004B2994" w:rsidRDefault="004B2994" w:rsidP="00B83FC3">
      <w:pPr>
        <w:textAlignment w:val="baseline"/>
        <w:outlineLvl w:val="3"/>
        <w:rPr>
          <w:rFonts w:ascii="Helvetica" w:eastAsia="Times New Roman" w:hAnsi="Helvetica" w:cs="Times New Roman"/>
          <w:b/>
          <w:bCs/>
          <w:color w:val="C33A1A"/>
        </w:rPr>
      </w:pPr>
      <w:r w:rsidRPr="004B2994">
        <w:rPr>
          <w:rFonts w:ascii="Helvetica" w:eastAsia="Times New Roman" w:hAnsi="Helvetica" w:cs="Times New Roman"/>
          <w:b/>
          <w:bCs/>
          <w:color w:val="C33A1A"/>
        </w:rPr>
        <w:t>Contract Challenges</w:t>
      </w:r>
    </w:p>
    <w:p w:rsidR="004B2994" w:rsidRDefault="004B2994" w:rsidP="00B83FC3">
      <w:pPr>
        <w:textAlignment w:val="baseline"/>
        <w:rPr>
          <w:rFonts w:ascii="Helvetica" w:eastAsia="Times New Roman" w:hAnsi="Helvetica" w:cs="Times New Roman"/>
          <w:color w:val="666B6B"/>
          <w:sz w:val="21"/>
          <w:szCs w:val="21"/>
        </w:rPr>
      </w:pPr>
      <w:r w:rsidRPr="004B2994">
        <w:rPr>
          <w:rFonts w:ascii="Helvetica" w:eastAsia="Times New Roman" w:hAnsi="Helvetica" w:cs="Times New Roman"/>
          <w:color w:val="666B6B"/>
          <w:sz w:val="21"/>
          <w:szCs w:val="21"/>
        </w:rPr>
        <w:t>A second set of legal challenges arises from the realm of contracts and licensing law. Several of these have already been mentioned, but let us review them as a related set.</w:t>
      </w:r>
    </w:p>
    <w:p w:rsidR="00B83FC3" w:rsidRPr="004B2994" w:rsidRDefault="00B83FC3" w:rsidP="00B83FC3">
      <w:pPr>
        <w:textAlignment w:val="baseline"/>
        <w:rPr>
          <w:rFonts w:ascii="Helvetica" w:eastAsia="Times New Roman" w:hAnsi="Helvetica" w:cs="Times New Roman"/>
          <w:color w:val="666B6B"/>
          <w:sz w:val="21"/>
          <w:szCs w:val="21"/>
        </w:rPr>
      </w:pPr>
    </w:p>
    <w:p w:rsidR="004B2994" w:rsidRPr="004B2994" w:rsidRDefault="004B2994" w:rsidP="00B83FC3">
      <w:pPr>
        <w:textAlignment w:val="baseline"/>
        <w:rPr>
          <w:rFonts w:ascii="Helvetica" w:eastAsia="Times New Roman" w:hAnsi="Helvetica" w:cs="Times New Roman"/>
          <w:color w:val="666B6B"/>
          <w:sz w:val="21"/>
          <w:szCs w:val="21"/>
        </w:rPr>
      </w:pPr>
      <w:r w:rsidRPr="004B2994">
        <w:rPr>
          <w:rFonts w:ascii="inherit" w:eastAsia="Times New Roman" w:hAnsi="inherit" w:cs="Times New Roman"/>
          <w:i/>
          <w:iCs/>
          <w:color w:val="666B6B"/>
          <w:sz w:val="21"/>
          <w:szCs w:val="21"/>
          <w:bdr w:val="none" w:sz="0" w:space="0" w:color="auto" w:frame="1"/>
        </w:rPr>
        <w:t>Publishing Contracts</w:t>
      </w:r>
      <w:r w:rsidRPr="004B2994">
        <w:rPr>
          <w:rFonts w:ascii="Helvetica" w:eastAsia="Times New Roman" w:hAnsi="Helvetica" w:cs="Times New Roman"/>
          <w:color w:val="666B6B"/>
          <w:sz w:val="21"/>
          <w:szCs w:val="21"/>
        </w:rPr>
        <w:t>. First, as indicated above, a publisher’s number-one priority is to be sure its contracts with authors are clear, comprehensive, and reasonable.</w:t>
      </w:r>
    </w:p>
    <w:p w:rsidR="00DF0D2D" w:rsidRDefault="00DF0D2D" w:rsidP="00B83FC3">
      <w:pPr>
        <w:textAlignment w:val="baseline"/>
        <w:rPr>
          <w:rFonts w:ascii="Helvetica" w:eastAsia="Times New Roman" w:hAnsi="Helvetica" w:cs="Times New Roman"/>
          <w:color w:val="666B6B"/>
          <w:sz w:val="21"/>
          <w:szCs w:val="21"/>
        </w:rPr>
      </w:pPr>
    </w:p>
    <w:p w:rsidR="004B2994" w:rsidRDefault="004B2994" w:rsidP="00B83FC3">
      <w:pPr>
        <w:textAlignment w:val="baseline"/>
        <w:rPr>
          <w:rFonts w:ascii="Helvetica" w:eastAsia="Times New Roman" w:hAnsi="Helvetica" w:cs="Times New Roman"/>
          <w:color w:val="666B6B"/>
          <w:sz w:val="21"/>
          <w:szCs w:val="21"/>
        </w:rPr>
      </w:pPr>
      <w:r w:rsidRPr="004B2994">
        <w:rPr>
          <w:rFonts w:ascii="inherit" w:eastAsia="Times New Roman" w:hAnsi="inherit" w:cs="Times New Roman"/>
          <w:i/>
          <w:iCs/>
          <w:color w:val="666B6B"/>
          <w:sz w:val="21"/>
          <w:szCs w:val="21"/>
          <w:bdr w:val="none" w:sz="0" w:space="0" w:color="auto" w:frame="1"/>
        </w:rPr>
        <w:t>Distributor/Reseller Arrangements</w:t>
      </w:r>
      <w:r w:rsidRPr="004B2994">
        <w:rPr>
          <w:rFonts w:ascii="Helvetica" w:eastAsia="Times New Roman" w:hAnsi="Helvetica" w:cs="Times New Roman"/>
          <w:color w:val="666B6B"/>
          <w:sz w:val="21"/>
          <w:szCs w:val="21"/>
        </w:rPr>
        <w:t xml:space="preserve">. In dealing with their channels of distribution, publishers must appreciate how exclusive arrangements affect other opportunities: </w:t>
      </w:r>
    </w:p>
    <w:p w:rsidR="00DF0D2D" w:rsidRPr="004B2994" w:rsidRDefault="00DF0D2D" w:rsidP="00B83FC3">
      <w:pPr>
        <w:textAlignment w:val="baseline"/>
        <w:rPr>
          <w:rFonts w:ascii="Helvetica" w:eastAsia="Times New Roman" w:hAnsi="Helvetica" w:cs="Times New Roman"/>
          <w:color w:val="666B6B"/>
          <w:sz w:val="21"/>
          <w:szCs w:val="21"/>
        </w:rPr>
      </w:pPr>
    </w:p>
    <w:p w:rsidR="00767333" w:rsidRDefault="00767333" w:rsidP="00B83FC3">
      <w:pPr>
        <w:textAlignment w:val="baseline"/>
        <w:outlineLvl w:val="3"/>
        <w:rPr>
          <w:rFonts w:ascii="Helvetica" w:eastAsia="Times New Roman" w:hAnsi="Helvetica" w:cs="Times New Roman"/>
          <w:b/>
          <w:bCs/>
          <w:color w:val="C33A1A"/>
        </w:rPr>
      </w:pPr>
    </w:p>
    <w:p w:rsidR="004B2994" w:rsidRPr="004B2994" w:rsidRDefault="004B2994" w:rsidP="00B83FC3">
      <w:pPr>
        <w:textAlignment w:val="baseline"/>
        <w:outlineLvl w:val="3"/>
        <w:rPr>
          <w:rFonts w:ascii="Helvetica" w:eastAsia="Times New Roman" w:hAnsi="Helvetica" w:cs="Times New Roman"/>
          <w:b/>
          <w:bCs/>
          <w:color w:val="C33A1A"/>
        </w:rPr>
      </w:pPr>
      <w:r w:rsidRPr="004B2994">
        <w:rPr>
          <w:rFonts w:ascii="Helvetica" w:eastAsia="Times New Roman" w:hAnsi="Helvetica" w:cs="Times New Roman"/>
          <w:b/>
          <w:bCs/>
          <w:color w:val="C33A1A"/>
        </w:rPr>
        <w:t>Defamation, Privacy, and Publicity Issues</w:t>
      </w:r>
    </w:p>
    <w:p w:rsidR="004B2994" w:rsidRDefault="004B2994" w:rsidP="00B83FC3">
      <w:pPr>
        <w:textAlignment w:val="baseline"/>
        <w:rPr>
          <w:rFonts w:ascii="Helvetica" w:eastAsia="Times New Roman" w:hAnsi="Helvetica" w:cs="Times New Roman"/>
          <w:color w:val="666B6B"/>
          <w:sz w:val="21"/>
          <w:szCs w:val="21"/>
        </w:rPr>
      </w:pPr>
      <w:r w:rsidRPr="004B2994">
        <w:rPr>
          <w:rFonts w:ascii="Helvetica" w:eastAsia="Times New Roman" w:hAnsi="Helvetica" w:cs="Times New Roman"/>
          <w:color w:val="666B6B"/>
          <w:sz w:val="21"/>
          <w:szCs w:val="21"/>
        </w:rPr>
        <w:t>Another set of challenges to publishers comes from the shifting boundaries of the laws of privacy, publicity, and libel. Publishers can be sued for publishing false and defamatory statements and, sometimes, even just embarrassing private facts about individuals</w:t>
      </w:r>
      <w:r w:rsidR="00B83FC3">
        <w:rPr>
          <w:rFonts w:ascii="Helvetica" w:eastAsia="Times New Roman" w:hAnsi="Helvetica" w:cs="Times New Roman"/>
          <w:color w:val="666B6B"/>
          <w:sz w:val="21"/>
          <w:szCs w:val="21"/>
        </w:rPr>
        <w:t>.</w:t>
      </w:r>
    </w:p>
    <w:p w:rsidR="00B83FC3" w:rsidRPr="004B2994" w:rsidRDefault="00B83FC3" w:rsidP="00B83FC3">
      <w:pPr>
        <w:textAlignment w:val="baseline"/>
        <w:rPr>
          <w:rFonts w:ascii="Helvetica" w:eastAsia="Times New Roman" w:hAnsi="Helvetica" w:cs="Times New Roman"/>
          <w:color w:val="666B6B"/>
          <w:sz w:val="21"/>
          <w:szCs w:val="21"/>
        </w:rPr>
      </w:pPr>
    </w:p>
    <w:p w:rsidR="00B83FC3" w:rsidRDefault="004B2994" w:rsidP="00B83FC3">
      <w:pPr>
        <w:textAlignment w:val="baseline"/>
        <w:rPr>
          <w:rFonts w:ascii="Helvetica" w:eastAsia="Times New Roman" w:hAnsi="Helvetica" w:cs="Times New Roman"/>
          <w:color w:val="666B6B"/>
          <w:sz w:val="21"/>
          <w:szCs w:val="21"/>
        </w:rPr>
      </w:pPr>
      <w:r w:rsidRPr="004B2994">
        <w:rPr>
          <w:rFonts w:ascii="inherit" w:eastAsia="Times New Roman" w:hAnsi="inherit" w:cs="Times New Roman"/>
          <w:i/>
          <w:iCs/>
          <w:color w:val="666B6B"/>
          <w:sz w:val="21"/>
          <w:szCs w:val="21"/>
          <w:bdr w:val="none" w:sz="0" w:space="0" w:color="auto" w:frame="1"/>
        </w:rPr>
        <w:t>Defamation Challenges</w:t>
      </w:r>
      <w:r w:rsidRPr="004B2994">
        <w:rPr>
          <w:rFonts w:ascii="Helvetica" w:eastAsia="Times New Roman" w:hAnsi="Helvetica" w:cs="Times New Roman"/>
          <w:color w:val="666B6B"/>
          <w:sz w:val="21"/>
          <w:szCs w:val="21"/>
        </w:rPr>
        <w:t xml:space="preserve">. A “defamation” is generally a false statement of fact about a living individual (though it may apply to deceased individuals in certain jurisdictions and, occasionally, to corporate entities) that holds the person up to ridicule or scorn. </w:t>
      </w:r>
    </w:p>
    <w:p w:rsidR="00B83FC3" w:rsidRDefault="00B83FC3" w:rsidP="00B83FC3">
      <w:pPr>
        <w:textAlignment w:val="baseline"/>
        <w:rPr>
          <w:rFonts w:ascii="Helvetica" w:eastAsia="Times New Roman" w:hAnsi="Helvetica" w:cs="Times New Roman"/>
          <w:color w:val="666B6B"/>
          <w:sz w:val="21"/>
          <w:szCs w:val="21"/>
        </w:rPr>
      </w:pPr>
    </w:p>
    <w:p w:rsidR="00B83FC3" w:rsidRDefault="004B2994" w:rsidP="00B83FC3">
      <w:pPr>
        <w:textAlignment w:val="baseline"/>
        <w:rPr>
          <w:rFonts w:ascii="Helvetica" w:eastAsia="Times New Roman" w:hAnsi="Helvetica" w:cs="Times New Roman"/>
          <w:color w:val="666B6B"/>
          <w:sz w:val="21"/>
          <w:szCs w:val="21"/>
        </w:rPr>
      </w:pPr>
      <w:r w:rsidRPr="004B2994">
        <w:rPr>
          <w:rFonts w:ascii="inherit" w:eastAsia="Times New Roman" w:hAnsi="inherit" w:cs="Times New Roman"/>
          <w:i/>
          <w:iCs/>
          <w:color w:val="666B6B"/>
          <w:sz w:val="21"/>
          <w:szCs w:val="21"/>
          <w:bdr w:val="none" w:sz="0" w:space="0" w:color="auto" w:frame="1"/>
        </w:rPr>
        <w:t>Privacy Rights</w:t>
      </w:r>
      <w:r w:rsidRPr="004B2994">
        <w:rPr>
          <w:rFonts w:ascii="Helvetica" w:eastAsia="Times New Roman" w:hAnsi="Helvetica" w:cs="Times New Roman"/>
          <w:color w:val="666B6B"/>
          <w:sz w:val="21"/>
          <w:szCs w:val="21"/>
        </w:rPr>
        <w:t xml:space="preserve">. A related issue concerns individuals’ rights of privacy. Privacy is usually more of a challenge to publishers of newspapers and magazines, in which up-to-the-minute reporting may propel the disclosure of facts that should not be made public, including medical, financial, or other highly personal information. </w:t>
      </w:r>
    </w:p>
    <w:p w:rsidR="00B83FC3" w:rsidRDefault="00B83FC3" w:rsidP="00B83FC3">
      <w:pPr>
        <w:textAlignment w:val="baseline"/>
        <w:rPr>
          <w:rFonts w:ascii="Helvetica" w:eastAsia="Times New Roman" w:hAnsi="Helvetica" w:cs="Times New Roman"/>
          <w:color w:val="666B6B"/>
          <w:sz w:val="21"/>
          <w:szCs w:val="21"/>
        </w:rPr>
      </w:pPr>
    </w:p>
    <w:p w:rsidR="004B2994" w:rsidRPr="004B2994" w:rsidRDefault="004B2994" w:rsidP="00B83FC3">
      <w:pPr>
        <w:textAlignment w:val="baseline"/>
        <w:outlineLvl w:val="3"/>
        <w:rPr>
          <w:rFonts w:ascii="Helvetica" w:eastAsia="Times New Roman" w:hAnsi="Helvetica" w:cs="Times New Roman"/>
          <w:b/>
          <w:bCs/>
          <w:color w:val="C33A1A"/>
        </w:rPr>
      </w:pPr>
      <w:r w:rsidRPr="004B2994">
        <w:rPr>
          <w:rFonts w:ascii="Helvetica" w:eastAsia="Times New Roman" w:hAnsi="Helvetica" w:cs="Times New Roman"/>
          <w:b/>
          <w:bCs/>
          <w:color w:val="C33A1A"/>
        </w:rPr>
        <w:t>Negligent Publication</w:t>
      </w:r>
    </w:p>
    <w:p w:rsidR="004B2994" w:rsidRPr="004B2994" w:rsidRDefault="004B2994" w:rsidP="00B83FC3">
      <w:pPr>
        <w:textAlignment w:val="baseline"/>
        <w:rPr>
          <w:rFonts w:ascii="Helvetica" w:eastAsia="Times New Roman" w:hAnsi="Helvetica" w:cs="Times New Roman"/>
          <w:color w:val="666B6B"/>
          <w:sz w:val="21"/>
          <w:szCs w:val="21"/>
        </w:rPr>
      </w:pPr>
      <w:r w:rsidRPr="004B2994">
        <w:rPr>
          <w:rFonts w:ascii="Helvetica" w:eastAsia="Times New Roman" w:hAnsi="Helvetica" w:cs="Times New Roman"/>
          <w:color w:val="666B6B"/>
          <w:sz w:val="21"/>
          <w:szCs w:val="21"/>
        </w:rPr>
        <w:t>An issue unique to books that provide instructions, directions, how-to information, self-help (especially medical), and other guidance is a claim of </w:t>
      </w:r>
      <w:r w:rsidRPr="004B2994">
        <w:rPr>
          <w:rFonts w:ascii="inherit" w:eastAsia="Times New Roman" w:hAnsi="inherit" w:cs="Times New Roman"/>
          <w:i/>
          <w:iCs/>
          <w:color w:val="666B6B"/>
          <w:sz w:val="21"/>
          <w:szCs w:val="21"/>
          <w:bdr w:val="none" w:sz="0" w:space="0" w:color="auto" w:frame="1"/>
        </w:rPr>
        <w:t>negligent publication</w:t>
      </w:r>
      <w:r w:rsidRPr="004B2994">
        <w:rPr>
          <w:rFonts w:ascii="Helvetica" w:eastAsia="Times New Roman" w:hAnsi="Helvetica" w:cs="Times New Roman"/>
          <w:color w:val="666B6B"/>
          <w:sz w:val="21"/>
          <w:szCs w:val="21"/>
        </w:rPr>
        <w:t xml:space="preserve">. </w:t>
      </w:r>
    </w:p>
    <w:p w:rsidR="0089307D" w:rsidRDefault="0089307D" w:rsidP="00B83FC3"/>
    <w:sectPr w:rsidR="0089307D" w:rsidSect="005B23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05D36"/>
    <w:multiLevelType w:val="hybridMultilevel"/>
    <w:tmpl w:val="0D58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94"/>
    <w:rsid w:val="004B2994"/>
    <w:rsid w:val="005B23DC"/>
    <w:rsid w:val="00767333"/>
    <w:rsid w:val="0089307D"/>
    <w:rsid w:val="00B83FC3"/>
    <w:rsid w:val="00DD647F"/>
    <w:rsid w:val="00DF0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AE38"/>
  <w15:chartTrackingRefBased/>
  <w15:docId w15:val="{7BFC84F1-B9C0-8542-B991-0FF0D9D4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29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299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B2994"/>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4B2994"/>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9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299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B2994"/>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4B2994"/>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4B2994"/>
  </w:style>
  <w:style w:type="character" w:styleId="Hyperlink">
    <w:name w:val="Hyperlink"/>
    <w:basedOn w:val="DefaultParagraphFont"/>
    <w:uiPriority w:val="99"/>
    <w:semiHidden/>
    <w:unhideWhenUsed/>
    <w:rsid w:val="004B2994"/>
    <w:rPr>
      <w:color w:val="0000FF"/>
      <w:u w:val="single"/>
    </w:rPr>
  </w:style>
  <w:style w:type="paragraph" w:styleId="NormalWeb">
    <w:name w:val="Normal (Web)"/>
    <w:basedOn w:val="Normal"/>
    <w:uiPriority w:val="99"/>
    <w:semiHidden/>
    <w:unhideWhenUsed/>
    <w:rsid w:val="004B299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B2994"/>
    <w:rPr>
      <w:i/>
      <w:iCs/>
    </w:rPr>
  </w:style>
  <w:style w:type="paragraph" w:styleId="ListParagraph">
    <w:name w:val="List Paragraph"/>
    <w:basedOn w:val="Normal"/>
    <w:uiPriority w:val="34"/>
    <w:qFormat/>
    <w:rsid w:val="00DF0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86735">
      <w:bodyDiv w:val="1"/>
      <w:marLeft w:val="0"/>
      <w:marRight w:val="0"/>
      <w:marTop w:val="0"/>
      <w:marBottom w:val="0"/>
      <w:divBdr>
        <w:top w:val="none" w:sz="0" w:space="0" w:color="auto"/>
        <w:left w:val="none" w:sz="0" w:space="0" w:color="auto"/>
        <w:bottom w:val="none" w:sz="0" w:space="0" w:color="auto"/>
        <w:right w:val="none" w:sz="0" w:space="0" w:color="auto"/>
      </w:divBdr>
      <w:divsChild>
        <w:div w:id="559558615">
          <w:marLeft w:val="0"/>
          <w:marRight w:val="0"/>
          <w:marTop w:val="0"/>
          <w:marBottom w:val="225"/>
          <w:divBdr>
            <w:top w:val="none" w:sz="0" w:space="0" w:color="auto"/>
            <w:left w:val="none" w:sz="0" w:space="0" w:color="auto"/>
            <w:bottom w:val="single" w:sz="6" w:space="11" w:color="BBBBB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2018-09-27T09:03:00Z</cp:lastPrinted>
  <dcterms:created xsi:type="dcterms:W3CDTF">2018-09-27T09:29:00Z</dcterms:created>
  <dcterms:modified xsi:type="dcterms:W3CDTF">2018-09-27T09:29:00Z</dcterms:modified>
</cp:coreProperties>
</file>